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8C" w:rsidRPr="00B34D8C" w:rsidRDefault="00E70D6C" w:rsidP="00B34D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60"/>
          <w:szCs w:val="20"/>
        </w:rPr>
      </w:pPr>
      <w:r>
        <w:rPr>
          <w:noProof/>
          <w:lang w:eastAsia="bg-BG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105410</wp:posOffset>
            </wp:positionH>
            <wp:positionV relativeFrom="paragraph">
              <wp:posOffset>13970</wp:posOffset>
            </wp:positionV>
            <wp:extent cx="908050" cy="1234440"/>
            <wp:effectExtent l="19050" t="0" r="6350" b="0"/>
            <wp:wrapSquare wrapText="bothSides"/>
            <wp:docPr id="5" name="Картина 2" descr="_Hris-ArhivGurkovo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_Hris-ArhivGurkovo_20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4D8C" w:rsidRPr="00B34D8C">
        <w:rPr>
          <w:rFonts w:ascii="Times New Roman" w:eastAsia="Times New Roman" w:hAnsi="Times New Roman"/>
          <w:b/>
          <w:sz w:val="60"/>
          <w:szCs w:val="20"/>
        </w:rPr>
        <w:t>ОБЩИНА ГУРКОВО</w:t>
      </w:r>
    </w:p>
    <w:p w:rsidR="00B34D8C" w:rsidRPr="00B34D8C" w:rsidRDefault="00B34D8C" w:rsidP="00B34D8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bg-BG"/>
        </w:rPr>
      </w:pPr>
      <w:r>
        <w:rPr>
          <w:noProof/>
        </w:rPr>
        <w:pict>
          <v:line id="Право съединение 1" o:spid="_x0000_s1028" style="position:absolute;left:0;text-align:left;z-index:251658240;visibility:visible" from="13.1pt,7.55pt" to="344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" o:allowincell="f" strokecolor="#396" strokeweight="2.25pt"/>
        </w:pict>
      </w:r>
    </w:p>
    <w:p w:rsidR="00B34D8C" w:rsidRPr="00B34D8C" w:rsidRDefault="00B34D8C" w:rsidP="00B34D8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bg-BG"/>
        </w:rPr>
      </w:pPr>
      <w:r w:rsidRPr="00B34D8C">
        <w:rPr>
          <w:rFonts w:ascii="Times New Roman" w:eastAsia="Times New Roman" w:hAnsi="Times New Roman"/>
          <w:b/>
          <w:sz w:val="20"/>
          <w:szCs w:val="20"/>
          <w:lang w:eastAsia="bg-BG"/>
        </w:rPr>
        <w:t>гр. Гурково 6199, обл. Ст. Загора, бул. “Княз Ал. Батенберг” 3</w:t>
      </w:r>
    </w:p>
    <w:p w:rsidR="00B34D8C" w:rsidRPr="00B34D8C" w:rsidRDefault="00B34D8C" w:rsidP="00B34D8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bg-BG"/>
        </w:rPr>
      </w:pPr>
      <w:r w:rsidRPr="00B34D8C">
        <w:rPr>
          <w:rFonts w:ascii="Times New Roman" w:eastAsia="Times New Roman" w:hAnsi="Times New Roman"/>
          <w:b/>
          <w:sz w:val="20"/>
          <w:szCs w:val="20"/>
          <w:lang w:eastAsia="bg-BG"/>
        </w:rPr>
        <w:t>тел.: КМЕТ – 04331/ 2260, ГЛ.СЧЕТОВОДИТЕЛ – 04331/ 2084,</w:t>
      </w:r>
    </w:p>
    <w:p w:rsidR="00B34D8C" w:rsidRPr="00B34D8C" w:rsidRDefault="00B34D8C" w:rsidP="00B34D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34D8C">
        <w:rPr>
          <w:rFonts w:ascii="Times New Roman" w:eastAsia="Times New Roman" w:hAnsi="Times New Roman"/>
          <w:b/>
          <w:sz w:val="20"/>
          <w:szCs w:val="20"/>
          <w:lang w:eastAsia="bg-BG"/>
        </w:rPr>
        <w:t xml:space="preserve">ФАКС 04331/ 2887, </w:t>
      </w:r>
      <w:r w:rsidRPr="00B34D8C">
        <w:rPr>
          <w:rFonts w:ascii="Times New Roman" w:eastAsia="Times New Roman" w:hAnsi="Times New Roman"/>
          <w:b/>
          <w:sz w:val="20"/>
          <w:szCs w:val="20"/>
          <w:lang w:val="en-AU" w:eastAsia="bg-BG"/>
        </w:rPr>
        <w:t>e</w:t>
      </w:r>
      <w:r w:rsidRPr="00B34D8C">
        <w:rPr>
          <w:rFonts w:ascii="Times New Roman" w:eastAsia="Times New Roman" w:hAnsi="Times New Roman"/>
          <w:b/>
          <w:sz w:val="20"/>
          <w:szCs w:val="20"/>
          <w:lang w:val="ru-RU" w:eastAsia="bg-BG"/>
        </w:rPr>
        <w:t>-</w:t>
      </w:r>
      <w:r w:rsidRPr="00B34D8C">
        <w:rPr>
          <w:rFonts w:ascii="Times New Roman" w:eastAsia="Times New Roman" w:hAnsi="Times New Roman"/>
          <w:b/>
          <w:sz w:val="20"/>
          <w:szCs w:val="20"/>
          <w:lang w:val="en-AU" w:eastAsia="bg-BG"/>
        </w:rPr>
        <w:t>mail</w:t>
      </w:r>
      <w:r w:rsidRPr="00B34D8C">
        <w:rPr>
          <w:rFonts w:ascii="Times New Roman" w:eastAsia="Times New Roman" w:hAnsi="Times New Roman"/>
          <w:b/>
          <w:sz w:val="20"/>
          <w:szCs w:val="20"/>
          <w:lang w:val="ru-RU" w:eastAsia="bg-BG"/>
        </w:rPr>
        <w:t xml:space="preserve"> </w:t>
      </w:r>
      <w:hyperlink r:id="rId6" w:history="1">
        <w:r w:rsidRPr="00B34D8C">
          <w:rPr>
            <w:rFonts w:ascii="Times New Roman" w:eastAsia="Times New Roman" w:hAnsi="Times New Roman"/>
            <w:b/>
            <w:color w:val="0000FF"/>
            <w:sz w:val="20"/>
            <w:szCs w:val="20"/>
            <w:u w:val="single"/>
            <w:lang w:val="en-AU" w:eastAsia="bg-BG"/>
          </w:rPr>
          <w:t>gurkovo</w:t>
        </w:r>
        <w:r w:rsidRPr="00B34D8C">
          <w:rPr>
            <w:rFonts w:ascii="Times New Roman" w:eastAsia="Times New Roman" w:hAnsi="Times New Roman"/>
            <w:b/>
            <w:color w:val="0000FF"/>
            <w:sz w:val="20"/>
            <w:szCs w:val="20"/>
            <w:u w:val="single"/>
            <w:lang w:val="ru-RU" w:eastAsia="bg-BG"/>
          </w:rPr>
          <w:t>_</w:t>
        </w:r>
        <w:r w:rsidRPr="00B34D8C">
          <w:rPr>
            <w:rFonts w:ascii="Times New Roman" w:eastAsia="Times New Roman" w:hAnsi="Times New Roman"/>
            <w:b/>
            <w:color w:val="0000FF"/>
            <w:sz w:val="20"/>
            <w:szCs w:val="20"/>
            <w:u w:val="single"/>
            <w:lang w:val="en-AU" w:eastAsia="bg-BG"/>
          </w:rPr>
          <w:t>obs</w:t>
        </w:r>
        <w:r w:rsidRPr="00B34D8C">
          <w:rPr>
            <w:rFonts w:ascii="Times New Roman" w:eastAsia="Times New Roman" w:hAnsi="Times New Roman"/>
            <w:b/>
            <w:color w:val="0000FF"/>
            <w:sz w:val="20"/>
            <w:szCs w:val="20"/>
            <w:u w:val="single"/>
            <w:lang w:val="ru-RU" w:eastAsia="bg-BG"/>
          </w:rPr>
          <w:t>@</w:t>
        </w:r>
        <w:r w:rsidRPr="00B34D8C">
          <w:rPr>
            <w:rFonts w:ascii="Times New Roman" w:eastAsia="Times New Roman" w:hAnsi="Times New Roman"/>
            <w:b/>
            <w:color w:val="0000FF"/>
            <w:sz w:val="20"/>
            <w:szCs w:val="20"/>
            <w:u w:val="single"/>
            <w:lang w:val="en-AU" w:eastAsia="bg-BG"/>
          </w:rPr>
          <w:t>abv</w:t>
        </w:r>
        <w:r w:rsidRPr="00B34D8C">
          <w:rPr>
            <w:rFonts w:ascii="Times New Roman" w:eastAsia="Times New Roman" w:hAnsi="Times New Roman"/>
            <w:b/>
            <w:color w:val="0000FF"/>
            <w:sz w:val="20"/>
            <w:szCs w:val="20"/>
            <w:u w:val="single"/>
            <w:lang w:val="ru-RU" w:eastAsia="bg-BG"/>
          </w:rPr>
          <w:t>.</w:t>
        </w:r>
        <w:r w:rsidRPr="00B34D8C">
          <w:rPr>
            <w:rFonts w:ascii="Times New Roman" w:eastAsia="Times New Roman" w:hAnsi="Times New Roman"/>
            <w:b/>
            <w:color w:val="0000FF"/>
            <w:sz w:val="20"/>
            <w:szCs w:val="20"/>
            <w:u w:val="single"/>
            <w:lang w:val="en-AU" w:eastAsia="bg-BG"/>
          </w:rPr>
          <w:t>bg</w:t>
        </w:r>
      </w:hyperlink>
      <w:r w:rsidRPr="00B34D8C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:rsidR="00B34D8C" w:rsidRDefault="00B34D8C" w:rsidP="00B34D8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bg-BG"/>
        </w:rPr>
      </w:pPr>
    </w:p>
    <w:p w:rsidR="00B34D8C" w:rsidRPr="00B34D8C" w:rsidRDefault="00B34D8C" w:rsidP="00B34D8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bg-BG"/>
        </w:rPr>
      </w:pP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bg-BG"/>
        </w:rPr>
        <w:t>Община Гурково</w:t>
      </w:r>
      <w:r w:rsidRPr="00B34D8C">
        <w:rPr>
          <w:rFonts w:ascii="Times New Roman" w:eastAsia="Times New Roman" w:hAnsi="Times New Roman"/>
          <w:b/>
          <w:bCs/>
          <w:kern w:val="36"/>
          <w:sz w:val="48"/>
          <w:szCs w:val="48"/>
          <w:lang w:eastAsia="bg-BG"/>
        </w:rPr>
        <w:t xml:space="preserve"> стартира процедура по разработване на План за интегрирано развитие на общината (ПИРО) за периода 2021-2027 година</w:t>
      </w:r>
    </w:p>
    <w:p w:rsidR="00B34D8C" w:rsidRPr="00B34D8C" w:rsidRDefault="00B34D8C" w:rsidP="00B34D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Сряда , 16 септември </w:t>
      </w:r>
      <w:r w:rsidRPr="00B34D8C">
        <w:rPr>
          <w:rFonts w:ascii="Times New Roman" w:eastAsia="Times New Roman" w:hAnsi="Times New Roman"/>
          <w:sz w:val="24"/>
          <w:szCs w:val="24"/>
          <w:lang w:eastAsia="bg-BG"/>
        </w:rPr>
        <w:t xml:space="preserve"> 2020 </w:t>
      </w:r>
    </w:p>
    <w:p w:rsidR="00B34D8C" w:rsidRPr="00B34D8C" w:rsidRDefault="00B34D8C" w:rsidP="00B34D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B34D8C">
        <w:rPr>
          <w:rFonts w:ascii="Times New Roman" w:eastAsia="Times New Roman" w:hAnsi="Times New Roman"/>
          <w:sz w:val="24"/>
          <w:szCs w:val="24"/>
          <w:lang w:eastAsia="bg-BG"/>
        </w:rPr>
        <w:t>Стартира процедура по разработване на План за интег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рирано развитие на община Гурково </w:t>
      </w:r>
      <w:r w:rsidRPr="00B34D8C">
        <w:rPr>
          <w:rFonts w:ascii="Times New Roman" w:eastAsia="Times New Roman" w:hAnsi="Times New Roman"/>
          <w:sz w:val="24"/>
          <w:szCs w:val="24"/>
          <w:lang w:eastAsia="bg-BG"/>
        </w:rPr>
        <w:t>(ПИРО) за периода 2021-2027 година.</w:t>
      </w:r>
    </w:p>
    <w:p w:rsidR="00B34D8C" w:rsidRPr="00B34D8C" w:rsidRDefault="00B34D8C" w:rsidP="00B34D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B34D8C">
        <w:rPr>
          <w:rFonts w:ascii="Times New Roman" w:eastAsia="Times New Roman" w:hAnsi="Times New Roman"/>
          <w:sz w:val="24"/>
          <w:szCs w:val="24"/>
          <w:lang w:eastAsia="bg-BG"/>
        </w:rPr>
        <w:t>Планът се изготвя, съгласно изискванията на Закона за регионалното развитие (ЗРР), Правилника за неговото прилагане (ППЗРР) и Методическите указания за разработване и прилагане на планове за интегрирано развитие на община за периода 2021-2027 г., утвърдени от Министерство на регионалното развитие и благоустройството. Той е елемент на системата от документи за стратегическо планиране и определя средносрочните цели и приоритети за развитието на общината.</w:t>
      </w:r>
    </w:p>
    <w:p w:rsidR="00B34D8C" w:rsidRPr="00B34D8C" w:rsidRDefault="00B34D8C" w:rsidP="00B34D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B34D8C">
        <w:rPr>
          <w:rFonts w:ascii="Times New Roman" w:eastAsia="Times New Roman" w:hAnsi="Times New Roman"/>
          <w:sz w:val="24"/>
          <w:szCs w:val="24"/>
          <w:lang w:eastAsia="bg-BG"/>
        </w:rPr>
        <w:t>Разработва се за 7-годишен период на действие.</w:t>
      </w:r>
    </w:p>
    <w:p w:rsidR="00B34D8C" w:rsidRPr="00B34D8C" w:rsidRDefault="00B34D8C" w:rsidP="00B34D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B34D8C">
        <w:rPr>
          <w:rFonts w:ascii="Times New Roman" w:eastAsia="Times New Roman" w:hAnsi="Times New Roman"/>
          <w:sz w:val="24"/>
          <w:szCs w:val="24"/>
          <w:lang w:eastAsia="bg-BG"/>
        </w:rPr>
        <w:t>Кметът на общината организира изработването, съгласуването и актуализирането му. Планът за интегрирано развитие на общината се обсъжда и съгласува със заинтересованите органи и организации, с икономическите и социалните партньори, както и с физически лица и представители на юридически лица, имащи отношение към развитието на общината. Обсъжда се и се приема от Общинския съвет по предложение на кмета на общината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B34D8C">
        <w:rPr>
          <w:rFonts w:ascii="Times New Roman" w:eastAsia="Times New Roman" w:hAnsi="Times New Roman"/>
          <w:sz w:val="24"/>
          <w:szCs w:val="24"/>
          <w:lang w:eastAsia="bg-BG"/>
        </w:rPr>
        <w:t xml:space="preserve"> Структурата и съдържанието на плана, следва да обхващат:</w:t>
      </w:r>
    </w:p>
    <w:p w:rsidR="00B34D8C" w:rsidRPr="00B34D8C" w:rsidRDefault="00B34D8C" w:rsidP="00B34D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B34D8C">
        <w:rPr>
          <w:rFonts w:ascii="Times New Roman" w:eastAsia="Times New Roman" w:hAnsi="Times New Roman"/>
          <w:sz w:val="24"/>
          <w:szCs w:val="24"/>
          <w:lang w:eastAsia="bg-BG"/>
        </w:rPr>
        <w:t>Териториален обхват и анализ на икономическото, социалното и екологичното състояние, нуждите и потенциалите за развитие на съответната община (територия);</w:t>
      </w:r>
    </w:p>
    <w:p w:rsidR="00B34D8C" w:rsidRPr="00B34D8C" w:rsidRDefault="00B34D8C" w:rsidP="00B34D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B34D8C">
        <w:rPr>
          <w:rFonts w:ascii="Times New Roman" w:eastAsia="Times New Roman" w:hAnsi="Times New Roman"/>
          <w:sz w:val="24"/>
          <w:szCs w:val="24"/>
          <w:lang w:eastAsia="bg-BG"/>
        </w:rPr>
        <w:t>Визия, цели и приоритети за развитие на общината за периода 2021-2027;</w:t>
      </w:r>
    </w:p>
    <w:p w:rsidR="00B34D8C" w:rsidRPr="00B34D8C" w:rsidRDefault="00B34D8C" w:rsidP="00B34D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B34D8C">
        <w:rPr>
          <w:rFonts w:ascii="Times New Roman" w:eastAsia="Times New Roman" w:hAnsi="Times New Roman"/>
          <w:sz w:val="24"/>
          <w:szCs w:val="24"/>
          <w:lang w:eastAsia="bg-BG"/>
        </w:rPr>
        <w:t>Описание на комуникационната стратегия, на партньорите и заинтересованите страни и формите на участие в подготовката и изпълнението на плана при спазване на принципите за партньорство и осигуряване на информация и публичност;</w:t>
      </w:r>
    </w:p>
    <w:p w:rsidR="00B34D8C" w:rsidRPr="00B34D8C" w:rsidRDefault="00B34D8C" w:rsidP="00B34D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B34D8C">
        <w:rPr>
          <w:rFonts w:ascii="Times New Roman" w:eastAsia="Times New Roman" w:hAnsi="Times New Roman"/>
          <w:sz w:val="24"/>
          <w:szCs w:val="24"/>
          <w:lang w:eastAsia="bg-BG"/>
        </w:rPr>
        <w:t>Определяне на приоритетни зони за въздействие;</w:t>
      </w:r>
    </w:p>
    <w:p w:rsidR="00B34D8C" w:rsidRPr="00B34D8C" w:rsidRDefault="00B34D8C" w:rsidP="00B34D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B34D8C">
        <w:rPr>
          <w:rFonts w:ascii="Times New Roman" w:eastAsia="Times New Roman" w:hAnsi="Times New Roman"/>
          <w:sz w:val="24"/>
          <w:szCs w:val="24"/>
          <w:lang w:eastAsia="bg-BG"/>
        </w:rPr>
        <w:t>Индикативен списък на важни за общината проектни идеи, с проектобюджети и оптимален график на изпълнение;</w:t>
      </w:r>
    </w:p>
    <w:p w:rsidR="00B34D8C" w:rsidRPr="00B34D8C" w:rsidRDefault="00B34D8C" w:rsidP="00B34D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B34D8C">
        <w:rPr>
          <w:rFonts w:ascii="Times New Roman" w:eastAsia="Times New Roman" w:hAnsi="Times New Roman"/>
          <w:sz w:val="24"/>
          <w:szCs w:val="24"/>
          <w:lang w:eastAsia="bg-BG"/>
        </w:rPr>
        <w:t>Програма за реализация на плана и описание на интегрирания подход за развитие;</w:t>
      </w:r>
    </w:p>
    <w:p w:rsidR="00B34D8C" w:rsidRPr="00B34D8C" w:rsidRDefault="00B34D8C" w:rsidP="00B34D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B34D8C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Мерки за ограничаване на изменението на климата и за адаптация към вече настъпилите промени;</w:t>
      </w:r>
    </w:p>
    <w:p w:rsidR="00B34D8C" w:rsidRPr="00B34D8C" w:rsidRDefault="00B34D8C" w:rsidP="00B34D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B34D8C">
        <w:rPr>
          <w:rFonts w:ascii="Times New Roman" w:eastAsia="Times New Roman" w:hAnsi="Times New Roman"/>
          <w:sz w:val="24"/>
          <w:szCs w:val="24"/>
          <w:lang w:eastAsia="bg-BG"/>
        </w:rPr>
        <w:t>Необходими действия за наблюдение и оценка на плана;</w:t>
      </w:r>
    </w:p>
    <w:p w:rsidR="00B34D8C" w:rsidRPr="00B34D8C" w:rsidRDefault="00B34D8C" w:rsidP="00B34D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B34D8C">
        <w:rPr>
          <w:rFonts w:ascii="Times New Roman" w:eastAsia="Times New Roman" w:hAnsi="Times New Roman"/>
          <w:sz w:val="24"/>
          <w:szCs w:val="24"/>
          <w:lang w:eastAsia="bg-BG"/>
        </w:rPr>
        <w:t>Индикатори за наблюдението и оценката.</w:t>
      </w:r>
    </w:p>
    <w:p w:rsidR="00B34D8C" w:rsidRPr="00B34D8C" w:rsidRDefault="00B34D8C" w:rsidP="00B34D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B34D8C">
        <w:rPr>
          <w:rFonts w:ascii="Times New Roman" w:eastAsia="Times New Roman" w:hAnsi="Times New Roman"/>
          <w:sz w:val="24"/>
          <w:szCs w:val="24"/>
          <w:lang w:eastAsia="bg-BG"/>
        </w:rPr>
        <w:t>За изработването и съгласуването на ПИРО е сформирана ра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ботна група със заповед № З-408/03.09</w:t>
      </w:r>
      <w:r w:rsidRPr="00B34D8C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2020 г. на кмета на Община Гурково </w:t>
      </w:r>
      <w:r w:rsidRPr="00B34D8C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B34D8C" w:rsidRPr="00B34D8C" w:rsidRDefault="00B34D8C" w:rsidP="00B34D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B34D8C">
        <w:rPr>
          <w:rFonts w:ascii="Times New Roman" w:eastAsia="Times New Roman" w:hAnsi="Times New Roman"/>
          <w:sz w:val="24"/>
          <w:szCs w:val="24"/>
          <w:lang w:eastAsia="bg-BG"/>
        </w:rPr>
        <w:t>Процесът на изработване и съгласуване на План за инте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грирано развитие на община Гурково </w:t>
      </w:r>
      <w:r w:rsidRPr="00B34D8C">
        <w:rPr>
          <w:rFonts w:ascii="Times New Roman" w:eastAsia="Times New Roman" w:hAnsi="Times New Roman"/>
          <w:sz w:val="24"/>
          <w:szCs w:val="24"/>
          <w:lang w:eastAsia="bg-BG"/>
        </w:rPr>
        <w:t xml:space="preserve"> (ПИРО) за периода 2021-2027 година ще бъде отразен на интернет ст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раницата на Община Гурково </w:t>
      </w:r>
      <w:r w:rsidRPr="00B34D8C">
        <w:t xml:space="preserve"> </w:t>
      </w:r>
      <w:hyperlink r:id="rId7" w:history="1">
        <w:r w:rsidRPr="009D5C0B">
          <w:rPr>
            <w:rStyle w:val="a3"/>
            <w:rFonts w:ascii="Times New Roman" w:eastAsia="Times New Roman" w:hAnsi="Times New Roman"/>
            <w:sz w:val="24"/>
            <w:szCs w:val="24"/>
            <w:lang w:eastAsia="bg-BG"/>
          </w:rPr>
          <w:t>http://gurkovo.bg/page/plan-za-integrirano-razvitie-na-obshtina-gurkovo-2021-2027-328-1.html</w:t>
        </w:r>
      </w:hyperlink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, меню „ За общината</w:t>
      </w:r>
      <w:r w:rsidRPr="00B34D8C">
        <w:rPr>
          <w:rFonts w:ascii="Times New Roman" w:eastAsia="Times New Roman" w:hAnsi="Times New Roman"/>
          <w:sz w:val="24"/>
          <w:szCs w:val="24"/>
          <w:lang w:eastAsia="bg-BG"/>
        </w:rPr>
        <w:t xml:space="preserve">“,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подменю „</w:t>
      </w:r>
      <w:r w:rsidRPr="00B34D8C">
        <w:rPr>
          <w:rFonts w:ascii="Times New Roman" w:eastAsia="Times New Roman" w:hAnsi="Times New Roman"/>
          <w:sz w:val="24"/>
          <w:szCs w:val="24"/>
          <w:lang w:eastAsia="bg-BG"/>
        </w:rPr>
        <w:t>План за инте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грирано развитие на община Гурково   </w:t>
      </w:r>
      <w:r w:rsidRPr="00B34D8C">
        <w:rPr>
          <w:rFonts w:ascii="Times New Roman" w:eastAsia="Times New Roman" w:hAnsi="Times New Roman"/>
          <w:sz w:val="24"/>
          <w:szCs w:val="24"/>
          <w:lang w:eastAsia="bg-BG"/>
        </w:rPr>
        <w:t xml:space="preserve"> 2021-2027“, с цел осигуряване на публичност и прозрачност.</w:t>
      </w:r>
    </w:p>
    <w:p w:rsidR="0019655F" w:rsidRDefault="0019655F"/>
    <w:sectPr w:rsidR="0019655F" w:rsidSect="00B34D8C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01C9"/>
    <w:multiLevelType w:val="multilevel"/>
    <w:tmpl w:val="30EC4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hyphenationZone w:val="425"/>
  <w:characterSpacingControl w:val="doNotCompress"/>
  <w:compat/>
  <w:rsids>
    <w:rsidRoot w:val="00B34D8C"/>
    <w:rsid w:val="0019655F"/>
    <w:rsid w:val="00B34D8C"/>
    <w:rsid w:val="00D907AC"/>
    <w:rsid w:val="00E70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34D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9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urkovo.bg/page/plan-za-integrirano-razvitie-na-obshtina-gurkovo-2021-2027-328-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rkovo_obs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Links>
    <vt:vector size="12" baseType="variant">
      <vt:variant>
        <vt:i4>1572938</vt:i4>
      </vt:variant>
      <vt:variant>
        <vt:i4>3</vt:i4>
      </vt:variant>
      <vt:variant>
        <vt:i4>0</vt:i4>
      </vt:variant>
      <vt:variant>
        <vt:i4>5</vt:i4>
      </vt:variant>
      <vt:variant>
        <vt:lpwstr>http://gurkovo.bg/page/plan-za-integrirano-razvitie-na-obshtina-gurkovo-2021-2027-328-1.html</vt:lpwstr>
      </vt:variant>
      <vt:variant>
        <vt:lpwstr/>
      </vt:variant>
      <vt:variant>
        <vt:i4>1966099</vt:i4>
      </vt:variant>
      <vt:variant>
        <vt:i4>0</vt:i4>
      </vt:variant>
      <vt:variant>
        <vt:i4>0</vt:i4>
      </vt:variant>
      <vt:variant>
        <vt:i4>5</vt:i4>
      </vt:variant>
      <vt:variant>
        <vt:lpwstr>mailto:gurkovo_obs@abv.bg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Fujitsu Siemens 1</cp:lastModifiedBy>
  <cp:revision>2</cp:revision>
  <dcterms:created xsi:type="dcterms:W3CDTF">2020-09-16T08:32:00Z</dcterms:created>
  <dcterms:modified xsi:type="dcterms:W3CDTF">2020-09-16T08:32:00Z</dcterms:modified>
</cp:coreProperties>
</file>